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3" w:type="dxa"/>
        <w:tblLayout w:type="fixed"/>
        <w:tblLook w:val="04A0" w:firstRow="1" w:lastRow="0" w:firstColumn="1" w:lastColumn="0" w:noHBand="0" w:noVBand="1"/>
      </w:tblPr>
      <w:tblGrid>
        <w:gridCol w:w="4957"/>
        <w:gridCol w:w="4536"/>
      </w:tblGrid>
      <w:tr w:rsidR="00B50DE0" w:rsidTr="00B50DE0">
        <w:tc>
          <w:tcPr>
            <w:tcW w:w="4957" w:type="dxa"/>
          </w:tcPr>
          <w:p w:rsidR="00B50DE0" w:rsidRPr="00F13D5B" w:rsidRDefault="00B50DE0" w:rsidP="00B50DE0">
            <w:pPr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</w:pPr>
            <w:r w:rsidRPr="00F13D5B"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  <w:t xml:space="preserve">Филиал ОАО "СЕТЕВАЯ КОМПАНИЯ" </w:t>
            </w:r>
          </w:p>
          <w:p w:rsidR="00B50DE0" w:rsidRPr="00F13D5B" w:rsidRDefault="00133A1F" w:rsidP="00B50DE0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F13D5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ИЖЕВСКИЕ</w:t>
            </w:r>
            <w:r w:rsidR="00B50DE0" w:rsidRPr="00F13D5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ЭЛЕКТРИЧЕСКИЕ СЕТИ (</w:t>
            </w:r>
            <w:r w:rsidRPr="00F13D5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</w:t>
            </w:r>
            <w:r w:rsidR="00B50DE0" w:rsidRPr="00F13D5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ЭС)</w:t>
            </w:r>
          </w:p>
          <w:p w:rsidR="00B50DE0" w:rsidRPr="00F13D5B" w:rsidRDefault="00B50DE0" w:rsidP="00B50DE0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F13D5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ОТДЕЛ ТЕХНОЛОГЧЕСКИХ ПРИСОЕДИНЕНИЙ </w:t>
            </w:r>
            <w:r w:rsidRPr="00F13D5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(ОТП)</w:t>
            </w:r>
          </w:p>
          <w:p w:rsidR="00B50DE0" w:rsidRDefault="00133A1F" w:rsidP="00F13D5B">
            <w:pPr>
              <w:rPr>
                <w:rFonts w:ascii="GlyphLessFont" w:eastAsia="Times New Roman" w:hAnsi="GlyphLessFont" w:cs="Times New Roman"/>
                <w:color w:val="000000"/>
                <w:sz w:val="28"/>
                <w:szCs w:val="28"/>
                <w:lang w:eastAsia="ru-RU"/>
              </w:rPr>
            </w:pPr>
            <w:r w:rsidRPr="00F13D5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426000</w:t>
            </w:r>
            <w:r w:rsidR="00B50DE0" w:rsidRPr="00F13D5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F13D5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Ижевск</w:t>
            </w:r>
            <w:r w:rsidR="00B50DE0" w:rsidRPr="00F13D5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ул. </w:t>
            </w:r>
            <w:r w:rsidRPr="00F13D5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Ленина</w:t>
            </w:r>
            <w:r w:rsidR="00F13D5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109, </w:t>
            </w:r>
            <w:r w:rsidR="00B50DE0" w:rsidRPr="00F13D5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тел. 572-12-53</w:t>
            </w:r>
          </w:p>
        </w:tc>
        <w:tc>
          <w:tcPr>
            <w:tcW w:w="4536" w:type="dxa"/>
          </w:tcPr>
          <w:p w:rsidR="00B50DE0" w:rsidRPr="00F13D5B" w:rsidRDefault="00B50DE0" w:rsidP="00B50DE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3D5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Запрос</w:t>
            </w:r>
            <w:r w:rsidR="00133A1F" w:rsidRPr="00F13D5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:</w:t>
            </w:r>
            <w:r w:rsidRPr="00F13D5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33A1F" w:rsidRPr="00F13D5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Александр Анатольевич</w:t>
            </w:r>
          </w:p>
          <w:p w:rsidR="00B50DE0" w:rsidRDefault="00B50DE0" w:rsidP="00B50DE0">
            <w:pPr>
              <w:rPr>
                <w:rFonts w:ascii="GlyphLessFont" w:eastAsia="Times New Roman" w:hAnsi="GlyphLessFont" w:cs="Times New Roman"/>
                <w:color w:val="000000"/>
                <w:sz w:val="20"/>
                <w:szCs w:val="20"/>
                <w:lang w:eastAsia="ru-RU"/>
              </w:rPr>
            </w:pPr>
          </w:p>
          <w:p w:rsidR="00B50DE0" w:rsidRDefault="00B50DE0" w:rsidP="00B50DE0">
            <w:pPr>
              <w:rPr>
                <w:rFonts w:ascii="GlyphLessFont" w:eastAsia="Times New Roman" w:hAnsi="GlyphLessFon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B50DE0" w:rsidRDefault="00B50DE0" w:rsidP="00B50DE0">
      <w:pPr>
        <w:spacing w:after="0" w:line="240" w:lineRule="auto"/>
        <w:rPr>
          <w:rFonts w:ascii="GlyphLessFont" w:eastAsia="Times New Roman" w:hAnsi="GlyphLessFont" w:cs="Times New Roman"/>
          <w:color w:val="000000"/>
          <w:sz w:val="28"/>
          <w:szCs w:val="28"/>
          <w:lang w:eastAsia="ru-RU"/>
        </w:rPr>
      </w:pPr>
    </w:p>
    <w:p w:rsidR="00B50DE0" w:rsidRPr="00F13D5B" w:rsidRDefault="00B50DE0" w:rsidP="00B50DE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0DE0">
        <w:rPr>
          <w:rFonts w:ascii="GlyphLessFont" w:eastAsia="Times New Roman" w:hAnsi="GlyphLessFont" w:cs="Times New Roman"/>
          <w:color w:val="000000"/>
          <w:sz w:val="24"/>
          <w:szCs w:val="24"/>
          <w:lang w:eastAsia="ru-RU"/>
        </w:rPr>
        <w:br/>
      </w:r>
      <w:r w:rsidRPr="00B50DE0">
        <w:rPr>
          <w:rFonts w:ascii="GlyphLessFont" w:eastAsia="Times New Roman" w:hAnsi="GlyphLessFont" w:cs="Times New Roman"/>
          <w:color w:val="000000"/>
          <w:sz w:val="20"/>
          <w:szCs w:val="20"/>
          <w:lang w:eastAsia="ru-RU"/>
        </w:rPr>
        <w:br/>
      </w:r>
      <w:r w:rsidRPr="00F13D5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ТЕХНИЧЕСКОЕ ТРЕБОВАНИЕ НА ПРОЕКТИРОВАНИЕ №580 от 06.07.2022г.</w:t>
      </w:r>
      <w:r w:rsidRPr="00F13D5B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  <w:t>внешних сетей электроснабжения</w:t>
      </w:r>
    </w:p>
    <w:p w:rsidR="00B50DE0" w:rsidRPr="00F13D5B" w:rsidRDefault="00B50DE0" w:rsidP="00B50DE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50DE0">
        <w:rPr>
          <w:rFonts w:ascii="GlyphLessFont" w:eastAsia="Times New Roman" w:hAnsi="GlyphLessFont" w:cs="Times New Roman"/>
          <w:color w:val="000000"/>
          <w:sz w:val="20"/>
          <w:szCs w:val="20"/>
          <w:lang w:eastAsia="ru-RU"/>
        </w:rPr>
        <w:br/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Планируемая к присоединению суммарная мощность: 4000кВт.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2. Объект электроснабжения: </w:t>
      </w:r>
      <w:r w:rsidR="00133A1F"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Цех по производству велосипедов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3. Планируемое место расположения объекта: </w:t>
      </w:r>
      <w:r w:rsidR="00133A1F"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Удмуртская Республика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г. </w:t>
      </w:r>
      <w:r w:rsidR="00133A1F"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Ижевск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ул.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133A1F"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Пушкинская 1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4. Центр питания: ТЭЦ-1.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5. Проектируемая схема внешнего электроснабжения в отношении обеспечения надежности электроснабжения должна соответствовать требованиям ПУЭ, предъявляемых к электроприемникам 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II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категории.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6. Границу раздела по балансовой принадлежности после заключения договора технологического присоединения планируется установить на: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- кабельные наконечники в РУ-0,4кВ нов. БКТП-1, БКТП-2, БКТП-3, БКТП-4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7. Планируемую границу раздела для проектирования принять: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- кабельные наконечники в РУ-0,4кВ нов. БКТП- 1, БКТП-2, БКТП-3, БКТП-4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8. Уровень напряжения: 0,4кВ.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9. Сетевая организация выполняет: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10. Установку двух линейных ячеек в РУ-</w:t>
      </w:r>
      <w:proofErr w:type="spellStart"/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бкВ</w:t>
      </w:r>
      <w:proofErr w:type="spellEnd"/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РТП</w:t>
      </w:r>
      <w:r w:rsidR="00133A1F"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-127,</w:t>
      </w:r>
      <w:r w:rsidR="00133A1F"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11.Строительство двух КЛ-6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кВ РТП-127 - БКТП-1, дву</w:t>
      </w:r>
      <w:r w:rsidR="00133A1F"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 КЛ-6кВ БКТП-1 - БКТП-2, двух</w:t>
      </w:r>
      <w:r w:rsidR="00133A1F"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КЛ-6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кВ БКТП-2 - БКТП-3, двух КЛ-6кВ БКТП-3 - БКТП-4, одной КЛ-6кВ БКТП-2 -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БКТП-4843. ,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12.Строительство БКТП-1, БКТП-2, БКТП-3, БКТП-4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F13D5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13.Заявителю проектом предусмотреть: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13.1. Для электроснабжения: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13.1.1. Технологические</w:t>
      </w:r>
      <w:r w:rsidR="00133A1F"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коридоры под строительство КЛ-6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кВ.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13.1.</w:t>
      </w:r>
      <w:r w:rsidR="00133A1F"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Земельные участки под установку нов. БКТП-1, БКТП-2, БКТП-3, БКТП-4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13.1.</w:t>
      </w:r>
      <w:r w:rsidR="00133A1F"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Строительство взаиморезервируемых КЛ-0,4кВ от РУ-0,4кВ нов. БКТП-1,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БКТП-2, БКТП-3, БКТП-4 до ВРУ-0,4кВ объекта.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13.1.5. Установить необходимое количество ВРУ-0,4кВ на объекте. Тип и компо</w:t>
      </w:r>
      <w:r w:rsidR="00F13D5B"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новку определить проектом. </w:t>
      </w:r>
      <w:r w:rsidR="00F13D5B" w:rsidRPr="00F13D5B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I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 ВРУ-0,4кВ не должно превышать 400А.</w:t>
      </w:r>
    </w:p>
    <w:p w:rsidR="00B50DE0" w:rsidRPr="00F13D5B" w:rsidRDefault="00B50DE0" w:rsidP="00B50DE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13.2. Для организации коммерческого учета: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Коммерческий учет электроэнергии организовать согласно ПУЭ раздел 1.5, «Типовой инструкции по учету электроэнергии при ее производстве, передаче и распределении» РД 34.09.101.94, «О функционировании розничных рынков электрической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энергии, полном и (или) частичном ограничении режима потребления электрической энергии» Поста</w:t>
      </w:r>
      <w:r w:rsidR="00F13D5B"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новление Правительства РФ № 442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13.3 Мероприятия, обеспечивающие соблюдение требований ГОСТ-32144-2013 при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наличии электроприемников, влияющих на качественные показатели электроэнергии. Список приемников представить в филиал ОАО «Сетевая компания» Казанские электрические сети.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13.4. Организацию строительства, включая предложения по выделению очередей и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пусковых комплексов и определение сроков проведения строительно-монтажных и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пусконаладочных работ.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13.5. Природоохранные меры и мероприятия.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</w:p>
    <w:p w:rsidR="00133A1F" w:rsidRPr="00F13D5B" w:rsidRDefault="00B50DE0" w:rsidP="00B50DE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составе проекта предусмотреть раздел «Охрана окружающей среды» согласно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действующего законодательства.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При необходимости предусмотреть затраты на восстановление земель и возмещение ущерба.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14.Рекомендуется использование оборудования, производимого энергетическим кластером РТ и оборудования соответствующего технической политике ОАО «Сетевая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компания».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15.Предусмотреть при необходимости мероприятия по компенсации реактивной мощности в соответствии с Приказом №49 от 22.02.200</w:t>
      </w:r>
      <w:r w:rsidR="00133A1F"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7г. Министерства промышленности 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 </w:t>
      </w:r>
      <w:r w:rsidR="00133A1F"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нергетики РФ. Расчет компенсации реактивной мощности выполнить согласно «Указаниям по проектированию компенсации по реактивной мощности в электрических сетях промышленных предприятий».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16.Настоящее техническое требование не является основанием для те</w:t>
      </w:r>
      <w:r w:rsidR="00133A1F"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хнологического присоединения.</w:t>
      </w:r>
      <w:r w:rsidR="00133A1F"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17.Для осуществления технологического присоединения необходимо подать в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филиал ОАО «Сетевая компания» Казанские Электрические Сети заявку на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технологическое присоединение и заключение договора на оказание услуг по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осуществлению технологического присоединения энергоустановок к. электрическим сетям ОАО «Сетевая компания» по условиям, которого будут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определены границы раздела по балансовой и эксплуатационной ответственности.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18.Закупка электротехнического оборудования и строительство объектов электросетевого хозяйства осуществляется только после заключения договора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на оказание услуг по осуществлению технологического присоединения энергоустановок к электрическим сетям ОАО «Сетевая компания».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19.При изменении планируемой к присоединению суммарной мощности, категории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надежности электроснабжения объекта, уровня напряжения и других исходных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данных - точка присоединения и требования технического задания на проектирование могут быть изменены филиалом ОАО «Сетевая компания» Казанские электрические сети.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20.Ранее выданные технические требования на </w:t>
      </w:r>
      <w:r w:rsidR="00133A1F"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роектирование №383 от 03.05. 2015г.</w:t>
      </w:r>
      <w:r w:rsidR="00133A1F"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13D5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считать недействительными</w:t>
      </w:r>
    </w:p>
    <w:p w:rsidR="00133A1F" w:rsidRDefault="00133A1F" w:rsidP="00B50DE0">
      <w:pPr>
        <w:spacing w:after="0" w:line="240" w:lineRule="auto"/>
        <w:rPr>
          <w:rFonts w:ascii="GlyphLessFont" w:eastAsia="Times New Roman" w:hAnsi="GlyphLessFont" w:cs="Times New Roman"/>
          <w:color w:val="000000"/>
          <w:sz w:val="24"/>
          <w:szCs w:val="24"/>
          <w:lang w:eastAsia="ru-RU"/>
        </w:rPr>
      </w:pPr>
    </w:p>
    <w:p w:rsidR="00133A1F" w:rsidRDefault="00133A1F" w:rsidP="00B50DE0">
      <w:pPr>
        <w:spacing w:after="0" w:line="240" w:lineRule="auto"/>
        <w:rPr>
          <w:rFonts w:ascii="GlyphLessFont" w:eastAsia="Times New Roman" w:hAnsi="GlyphLessFont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33A1F" w:rsidRPr="00F13D5B" w:rsidTr="00133A1F">
        <w:tc>
          <w:tcPr>
            <w:tcW w:w="4672" w:type="dxa"/>
          </w:tcPr>
          <w:p w:rsidR="00133A1F" w:rsidRPr="00F13D5B" w:rsidRDefault="00133A1F" w:rsidP="00133A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13D5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Главный инженер </w:t>
            </w:r>
            <w:r w:rsidRPr="00F13D5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филиала ОАО «Сетевая компания»</w:t>
            </w:r>
            <w:r w:rsidRPr="00F13D5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Казанские Электрические сети</w:t>
            </w:r>
            <w:r w:rsidRPr="00F13D5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4673" w:type="dxa"/>
          </w:tcPr>
          <w:p w:rsidR="00133A1F" w:rsidRDefault="00133A1F" w:rsidP="00133A1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D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Евдокимов И.А.</w:t>
            </w:r>
          </w:p>
          <w:p w:rsidR="00F13D5B" w:rsidRDefault="00F13D5B" w:rsidP="00133A1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13D5B" w:rsidRPr="00F13D5B" w:rsidRDefault="00F13D5B" w:rsidP="00133A1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Подписано </w:t>
            </w:r>
          </w:p>
        </w:tc>
      </w:tr>
    </w:tbl>
    <w:p w:rsidR="00133A1F" w:rsidRDefault="00133A1F" w:rsidP="00F13D5B">
      <w:pPr>
        <w:spacing w:after="0" w:line="240" w:lineRule="auto"/>
      </w:pPr>
      <w:bookmarkStart w:id="0" w:name="_GoBack"/>
      <w:bookmarkEnd w:id="0"/>
    </w:p>
    <w:sectPr w:rsidR="00133A1F" w:rsidSect="00F13D5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lyphLessFon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DE0"/>
    <w:rsid w:val="00133A1F"/>
    <w:rsid w:val="007714AC"/>
    <w:rsid w:val="00B50DE0"/>
    <w:rsid w:val="00F13D5B"/>
    <w:rsid w:val="00F67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EC380"/>
  <w15:chartTrackingRefBased/>
  <w15:docId w15:val="{5CD27C24-EDEA-4621-BDBC-5D1AA8952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50D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8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Максимов Алексей Николаевич</dc:creator>
  <cp:keywords/>
  <dc:description/>
  <cp:lastModifiedBy>Максимов Алексей Николаевич</cp:lastModifiedBy>
  <cp:revision>1</cp:revision>
  <dcterms:created xsi:type="dcterms:W3CDTF">2023-12-21T10:58:00Z</dcterms:created>
  <dcterms:modified xsi:type="dcterms:W3CDTF">2023-12-21T11:24:00Z</dcterms:modified>
</cp:coreProperties>
</file>